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pPr>
      <w:r>
        <w:rPr>
          <w:b/>
          <w:color w:val="4A3728"/>
          <w:sz w:val="38"/>
        </w:rPr>
        <w:t>SOP Verifikasi dan Persetujuan Klaim Kontraktor</w:t>
      </w:r>
    </w:p>
    <w:p>
      <w:pPr>
        <w:spacing w:after="240"/>
      </w:pPr>
      <w:r>
        <w:rPr>
          <w:color w:val="334155"/>
          <w:sz w:val="21"/>
        </w:rPr>
        <w:t>SOP-KOM-007 Revisi 3 · Contoso Gold Mining Co · Berlaku sejak 1 Maret 2026</w:t>
      </w:r>
    </w:p>
    <w:p>
      <w:pPr>
        <w:spacing w:after="240"/>
      </w:pPr>
      <w:r>
        <w:rPr>
          <w:i/>
          <w:color w:val="334155"/>
          <w:sz w:val="17"/>
        </w:rPr>
        <w:t>Dokumen fiktif untuk keperluan pelatihan. Bukan dokumen operasional. Seluruh nama perusahaan, nama orang, dan angka dalam dokumen ini adalah rekaan.</w:t>
      </w:r>
    </w:p>
    <w:p>
      <w:pPr>
        <w:spacing w:before="260" w:after="100"/>
      </w:pPr>
      <w:r>
        <w:rPr>
          <w:b/>
          <w:color w:val="4A3728"/>
          <w:sz w:val="26"/>
        </w:rPr>
        <w:t>Pasal 1 Tujuan dan Ruang Lingkup</w:t>
      </w:r>
    </w:p>
    <w:p>
      <w:r>
        <w:t>Prosedur ini mengatur tata cara pengajuan, verifikasi, dan persetujuan klaim pembayaran dari kontraktor pelaksana pada Proyek Emas Bukit Cendana di Kabupaten Luwu Raya, Sulawesi. Prosedur berlaku untuk seluruh paket pekerjaan konstruksi, baik pekerjaan pokok maupun pekerjaan tambah kurang.</w:t>
      </w:r>
    </w:p>
    <w:p>
      <w:r>
        <w:t>Prosedur ini mengikat Departemen Kontrak dan Komersial, Departemen Teknik, Quantity Surveyor, Departemen Keuangan, dan seluruh kontraktor yang terikat perjanjian kerja konstruksi dengan perusahaan.</w:t>
      </w:r>
    </w:p>
    <w:p>
      <w:pPr>
        <w:spacing w:before="260" w:after="100"/>
      </w:pPr>
      <w:r>
        <w:rPr>
          <w:b/>
          <w:color w:val="4A3728"/>
          <w:sz w:val="26"/>
        </w:rPr>
        <w:t>Pasal 2 Dokumen Wajib Pengajuan Klaim</w:t>
      </w:r>
    </w:p>
    <w:p>
      <w:r>
        <w:t>Setiap pengajuan klaim wajib dilengkapi dokumen berikut. Klaim yang tidak lengkap akan dikembalikan dan tidak masuk dalam antrean verifikasi.</w:t>
      </w:r>
    </w:p>
    <w:p>
      <w:pPr>
        <w:pStyle w:val="ListNumber"/>
      </w:pPr>
      <w:r>
        <w:t>Surat pengantar klaim yang ditandatangani penanggung jawab kontraktor.</w:t>
      </w:r>
    </w:p>
    <w:p>
      <w:pPr>
        <w:pStyle w:val="ListNumber"/>
      </w:pPr>
      <w:r>
        <w:t>Rekapitulasi kuantitas pekerjaan yang telah diukur bersama Quantity Surveyor.</w:t>
      </w:r>
    </w:p>
    <w:p>
      <w:pPr>
        <w:pStyle w:val="ListNumber"/>
      </w:pPr>
      <w:r>
        <w:t>Berita acara pemeriksaan lapangan yang ditandatangani kedua belah pihak.</w:t>
      </w:r>
    </w:p>
    <w:p>
      <w:pPr>
        <w:pStyle w:val="ListNumber"/>
      </w:pPr>
      <w:r>
        <w:t>Dokumen mutu material berupa sertifikat pabrikan atau hasil uji laboratorium untuk seluruh material utama yang digunakan dalam periode klaim.</w:t>
      </w:r>
    </w:p>
    <w:p>
      <w:pPr>
        <w:pStyle w:val="ListNumber"/>
      </w:pPr>
      <w:r>
        <w:t>Timesheet tenaga kerja dan alat berat untuk pekerjaan berbasis waktu.</w:t>
      </w:r>
    </w:p>
    <w:p>
      <w:pPr>
        <w:pStyle w:val="ListNumber"/>
      </w:pPr>
      <w:r>
        <w:t>Salinan perintah kerja tertulis untuk setiap pekerjaan tambah.</w:t>
      </w:r>
    </w:p>
    <w:p>
      <w:pPr>
        <w:pStyle w:val="ListNumber"/>
      </w:pPr>
      <w:r>
        <w:t>Foto dokumentasi progres dengan penanda tanggal dan lokasi blok.</w:t>
      </w:r>
    </w:p>
    <w:p>
      <w:pPr>
        <w:spacing w:before="260" w:after="100"/>
      </w:pPr>
      <w:r>
        <w:rPr>
          <w:b/>
          <w:color w:val="4A3728"/>
          <w:sz w:val="26"/>
        </w:rPr>
        <w:t>Pasal 3 Batas Waktu Proses Verifikasi</w:t>
      </w:r>
    </w:p>
    <w:p>
      <w:r>
        <w:t>Batas waktu berikut dihitung dalam hari kalender sejak dokumen klaim diterima lengkap oleh Departemen Kontrak dan Komersial.</w:t>
      </w:r>
    </w:p>
    <w:tbl>
      <w:tblPr>
        <w:tblStyle w:val="TableGrid"/>
        <w:tblW w:type="auto" w:w="0"/>
        <w:jc w:val="center"/>
        <w:tblLook w:firstColumn="1" w:firstRow="1" w:lastColumn="0" w:lastRow="0" w:noHBand="0" w:noVBand="1" w:val="04A0"/>
      </w:tblPr>
      <w:tblGrid>
        <w:gridCol w:w="2880"/>
        <w:gridCol w:w="2880"/>
        <w:gridCol w:w="2880"/>
      </w:tblGrid>
      <w:tr>
        <w:tc>
          <w:tcPr>
            <w:tcW w:type="dxa" w:w="2880"/>
          </w:tcPr>
          <w:p>
            <w:r/>
            <w:r>
              <w:rPr>
                <w:b/>
                <w:color w:val="4A3728"/>
                <w:sz w:val="19"/>
              </w:rPr>
              <w:t>Tahap</w:t>
            </w:r>
          </w:p>
        </w:tc>
        <w:tc>
          <w:tcPr>
            <w:tcW w:type="dxa" w:w="2880"/>
          </w:tcPr>
          <w:p>
            <w:r/>
            <w:r>
              <w:rPr>
                <w:b/>
                <w:color w:val="4A3728"/>
                <w:sz w:val="19"/>
              </w:rPr>
              <w:t>Penanggung Jawab</w:t>
            </w:r>
          </w:p>
        </w:tc>
        <w:tc>
          <w:tcPr>
            <w:tcW w:type="dxa" w:w="2880"/>
          </w:tcPr>
          <w:p>
            <w:r/>
            <w:r>
              <w:rPr>
                <w:b/>
                <w:color w:val="4A3728"/>
                <w:sz w:val="19"/>
              </w:rPr>
              <w:t>Batas Waktu</w:t>
            </w:r>
          </w:p>
        </w:tc>
      </w:tr>
      <w:tr>
        <w:tc>
          <w:tcPr>
            <w:tcW w:type="dxa" w:w="2880"/>
          </w:tcPr>
          <w:p>
            <w:r/>
            <w:r>
              <w:rPr>
                <w:sz w:val="19"/>
              </w:rPr>
              <w:t>Pemeriksaan kelengkapan dokumen</w:t>
            </w:r>
          </w:p>
        </w:tc>
        <w:tc>
          <w:tcPr>
            <w:tcW w:type="dxa" w:w="2880"/>
          </w:tcPr>
          <w:p>
            <w:r/>
            <w:r>
              <w:rPr>
                <w:sz w:val="19"/>
              </w:rPr>
              <w:t>Admin Kontrak</w:t>
            </w:r>
          </w:p>
        </w:tc>
        <w:tc>
          <w:tcPr>
            <w:tcW w:type="dxa" w:w="2880"/>
          </w:tcPr>
          <w:p>
            <w:r/>
            <w:r>
              <w:rPr>
                <w:sz w:val="19"/>
              </w:rPr>
              <w:t>2 hari</w:t>
            </w:r>
          </w:p>
        </w:tc>
      </w:tr>
      <w:tr>
        <w:tc>
          <w:tcPr>
            <w:tcW w:type="dxa" w:w="2880"/>
          </w:tcPr>
          <w:p>
            <w:r/>
            <w:r>
              <w:rPr>
                <w:sz w:val="19"/>
              </w:rPr>
              <w:t>Verifikasi kuantitas</w:t>
            </w:r>
          </w:p>
        </w:tc>
        <w:tc>
          <w:tcPr>
            <w:tcW w:type="dxa" w:w="2880"/>
          </w:tcPr>
          <w:p>
            <w:r/>
            <w:r>
              <w:rPr>
                <w:sz w:val="19"/>
              </w:rPr>
              <w:t>Quantity Surveyor</w:t>
            </w:r>
          </w:p>
        </w:tc>
        <w:tc>
          <w:tcPr>
            <w:tcW w:type="dxa" w:w="2880"/>
          </w:tcPr>
          <w:p>
            <w:r/>
            <w:r>
              <w:rPr>
                <w:sz w:val="19"/>
              </w:rPr>
              <w:t>4 hari</w:t>
            </w:r>
          </w:p>
        </w:tc>
      </w:tr>
      <w:tr>
        <w:tc>
          <w:tcPr>
            <w:tcW w:type="dxa" w:w="2880"/>
          </w:tcPr>
          <w:p>
            <w:r/>
            <w:r>
              <w:rPr>
                <w:sz w:val="19"/>
              </w:rPr>
              <w:t>Verifikasi teknis dan mutu</w:t>
            </w:r>
          </w:p>
        </w:tc>
        <w:tc>
          <w:tcPr>
            <w:tcW w:type="dxa" w:w="2880"/>
          </w:tcPr>
          <w:p>
            <w:r/>
            <w:r>
              <w:rPr>
                <w:sz w:val="19"/>
              </w:rPr>
              <w:t>Departemen Teknik</w:t>
            </w:r>
          </w:p>
        </w:tc>
        <w:tc>
          <w:tcPr>
            <w:tcW w:type="dxa" w:w="2880"/>
          </w:tcPr>
          <w:p>
            <w:r/>
            <w:r>
              <w:rPr>
                <w:sz w:val="19"/>
              </w:rPr>
              <w:t>4 hari</w:t>
            </w:r>
          </w:p>
        </w:tc>
      </w:tr>
      <w:tr>
        <w:tc>
          <w:tcPr>
            <w:tcW w:type="dxa" w:w="2880"/>
          </w:tcPr>
          <w:p>
            <w:r/>
            <w:r>
              <w:rPr>
                <w:sz w:val="19"/>
              </w:rPr>
              <w:t>Rekomendasi komersial</w:t>
            </w:r>
          </w:p>
        </w:tc>
        <w:tc>
          <w:tcPr>
            <w:tcW w:type="dxa" w:w="2880"/>
          </w:tcPr>
          <w:p>
            <w:r/>
            <w:r>
              <w:rPr>
                <w:sz w:val="19"/>
              </w:rPr>
              <w:t>Manajer Kontrak dan Komersial</w:t>
            </w:r>
          </w:p>
        </w:tc>
        <w:tc>
          <w:tcPr>
            <w:tcW w:type="dxa" w:w="2880"/>
          </w:tcPr>
          <w:p>
            <w:r/>
            <w:r>
              <w:rPr>
                <w:sz w:val="19"/>
              </w:rPr>
              <w:t>2 hari</w:t>
            </w:r>
          </w:p>
        </w:tc>
      </w:tr>
      <w:tr>
        <w:tc>
          <w:tcPr>
            <w:tcW w:type="dxa" w:w="2880"/>
          </w:tcPr>
          <w:p>
            <w:r/>
            <w:r>
              <w:rPr>
                <w:sz w:val="19"/>
              </w:rPr>
              <w:t>Persetujuan akhir</w:t>
            </w:r>
          </w:p>
        </w:tc>
        <w:tc>
          <w:tcPr>
            <w:tcW w:type="dxa" w:w="2880"/>
          </w:tcPr>
          <w:p>
            <w:r/>
            <w:r>
              <w:rPr>
                <w:sz w:val="19"/>
              </w:rPr>
              <w:t>General Manager</w:t>
            </w:r>
          </w:p>
        </w:tc>
        <w:tc>
          <w:tcPr>
            <w:tcW w:type="dxa" w:w="2880"/>
          </w:tcPr>
          <w:p>
            <w:r/>
            <w:r>
              <w:rPr>
                <w:sz w:val="19"/>
              </w:rPr>
              <w:t>2 hari</w:t>
            </w:r>
          </w:p>
        </w:tc>
      </w:tr>
      <w:tr>
        <w:tc>
          <w:tcPr>
            <w:tcW w:type="dxa" w:w="2880"/>
          </w:tcPr>
          <w:p>
            <w:r/>
            <w:r>
              <w:rPr>
                <w:sz w:val="19"/>
              </w:rPr>
              <w:t>Total batas waktu</w:t>
            </w:r>
          </w:p>
        </w:tc>
        <w:tc>
          <w:tcPr>
            <w:tcW w:type="dxa" w:w="2880"/>
          </w:tcPr>
          <w:p>
            <w:r/>
            <w:r>
              <w:rPr>
                <w:sz w:val="19"/>
              </w:rPr>
            </w:r>
          </w:p>
        </w:tc>
        <w:tc>
          <w:tcPr>
            <w:tcW w:type="dxa" w:w="2880"/>
          </w:tcPr>
          <w:p>
            <w:r/>
            <w:r>
              <w:rPr>
                <w:sz w:val="19"/>
              </w:rPr>
              <w:t>14 hari</w:t>
            </w:r>
          </w:p>
        </w:tc>
      </w:tr>
    </w:tbl>
    <w:p/>
    <w:p>
      <w:r>
        <w:t>Klaim yang belum selesai diverifikasi setelah 14 hari kalender wajib dilaporkan dalam rapat tinjauan proyek bulanan beserta penjelasan penyebab keterlambatan.</w:t>
      </w:r>
    </w:p>
    <w:p>
      <w:pPr>
        <w:spacing w:before="260" w:after="100"/>
      </w:pPr>
      <w:r>
        <w:rPr>
          <w:b/>
          <w:color w:val="4A3728"/>
          <w:sz w:val="26"/>
        </w:rPr>
        <w:t>Pasal 4 Alasan Penahanan Klaim</w:t>
      </w:r>
    </w:p>
    <w:p>
      <w:r>
        <w:t>Klaim ditahan apabila ditemukan salah satu kondisi berikut. Penahanan wajib disertai alasan tertulis yang disampaikan kepada kontraktor paling lambat 3 hari kalender setelah keputusan penahanan.</w:t>
      </w:r>
    </w:p>
    <w:p>
      <w:pPr>
        <w:pStyle w:val="ListBullet"/>
      </w:pPr>
      <w:r>
        <w:t>Lampiran timesheet tidak lengkap atau tidak dapat diverifikasi.</w:t>
      </w:r>
    </w:p>
    <w:p>
      <w:pPr>
        <w:pStyle w:val="ListBullet"/>
      </w:pPr>
      <w:r>
        <w:t>Kuantitas belum diverifikasi Quantity Surveyor.</w:t>
      </w:r>
    </w:p>
    <w:p>
      <w:pPr>
        <w:pStyle w:val="ListBullet"/>
      </w:pPr>
      <w:r>
        <w:t>Harga satuan tidak sesuai daftar harga dalam kontrak.</w:t>
      </w:r>
    </w:p>
    <w:p>
      <w:pPr>
        <w:pStyle w:val="ListBullet"/>
      </w:pPr>
      <w:r>
        <w:t>Berita acara lapangan belum ditandatangani kedua belah pihak.</w:t>
      </w:r>
    </w:p>
    <w:p>
      <w:pPr>
        <w:pStyle w:val="ListBullet"/>
      </w:pPr>
      <w:r>
        <w:t>Dokumen mutu material belum dilampirkan.</w:t>
      </w:r>
    </w:p>
    <w:p>
      <w:pPr>
        <w:pStyle w:val="ListBullet"/>
      </w:pPr>
      <w:r>
        <w:t>Progres fisik belum diukur bersama.</w:t>
      </w:r>
    </w:p>
    <w:p>
      <w:pPr>
        <w:pStyle w:val="ListBullet"/>
      </w:pPr>
      <w:r>
        <w:t>Terdapat indikasi klaim ganda dengan periode sebelumnya.</w:t>
      </w:r>
    </w:p>
    <w:p>
      <w:pPr>
        <w:pStyle w:val="ListBullet"/>
      </w:pPr>
      <w:r>
        <w:t>Perintah kerja tambah belum disetujui secara tertulis.</w:t>
      </w:r>
    </w:p>
    <w:p>
      <w:pPr>
        <w:spacing w:before="260" w:after="100"/>
      </w:pPr>
      <w:r>
        <w:rPr>
          <w:b/>
          <w:color w:val="4A3728"/>
          <w:sz w:val="26"/>
        </w:rPr>
        <w:t>Pasal 5 Eskalasi dan Rapat Klarifikasi</w:t>
      </w:r>
    </w:p>
    <w:p>
      <w:r>
        <w:t>Apabila satu kontraktor mengalami penahanan klaim melebihi 25 persen dari jumlah klaim yang diajukan dalam satu bulan, Manajer Kontrak dan Komersial wajib menyelenggarakan rapat klarifikasi dengan kontraktor tersebut dalam waktu 10 hari kerja.</w:t>
      </w:r>
    </w:p>
    <w:p>
      <w:r>
        <w:t>Rapat klarifikasi membahas akar masalah penahanan, rencana perbaikan dokumen, dan kebutuhan pendampingan administrasi dari pihak perusahaan. Hasil rapat dituangkan dalam berita acara dan ditinjau kembali pada bulan berikutnya.</w:t>
      </w:r>
    </w:p>
    <w:p>
      <w:pPr>
        <w:spacing w:before="260" w:after="100"/>
      </w:pPr>
      <w:r>
        <w:rPr>
          <w:b/>
          <w:color w:val="4A3728"/>
          <w:sz w:val="26"/>
        </w:rPr>
        <w:t>Pasal 6 Pelaporan</w:t>
      </w:r>
    </w:p>
    <w:p>
      <w:r>
        <w:t>Departemen Kontrak dan Komersial menerbitkan laporan status klaim setiap bulan paling lambat tanggal 10 bulan berikutnya. Laporan memuat jumlah klaim per kontraktor, status klaim, nilai klaim yang ditahan, rata-rata hari proses, dan daftar klaim yang melewati batas waktu.</w:t>
      </w:r>
    </w:p>
    <w:p>
      <w:r>
        <w:t>Laporan disampaikan kepada General Manager, Departemen Keuangan, dan Departemen Teknik sebagai bahan rapat tinjauan proyek bulanan.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78" w:lineRule="auto"/>
    </w:pPr>
    <w:rPr>
      <w:rFonts w:ascii="Segoe UI" w:hAnsi="Segoe U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